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968"/>
        <w:gridCol w:w="2358"/>
        <w:gridCol w:w="3361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725A02" w:rsidP="00604B0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>Ata</w:t>
            </w:r>
            <w:r w:rsidR="00122A1F" w:rsidRPr="0065342F">
              <w:rPr>
                <w:rFonts w:ascii="Spranq eco sans" w:hAnsi="Spranq eco sans"/>
                <w:b/>
              </w:rPr>
              <w:t xml:space="preserve">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585A76">
        <w:trPr>
          <w:cantSplit/>
          <w:trHeight w:val="395"/>
        </w:trPr>
        <w:tc>
          <w:tcPr>
            <w:tcW w:w="3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2314A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A2314A">
              <w:rPr>
                <w:rFonts w:ascii="Spranq eco sans" w:hAnsi="Spranq eco sans"/>
                <w:sz w:val="22"/>
              </w:rPr>
              <w:t>13</w:t>
            </w:r>
            <w:r w:rsidR="005C708E">
              <w:rPr>
                <w:rFonts w:ascii="Spranq eco sans" w:hAnsi="Spranq eco sans"/>
                <w:sz w:val="22"/>
              </w:rPr>
              <w:t>/</w:t>
            </w:r>
            <w:r w:rsidR="00681233">
              <w:rPr>
                <w:rFonts w:ascii="Spranq eco sans" w:hAnsi="Spranq eco sans"/>
                <w:sz w:val="22"/>
              </w:rPr>
              <w:t>0</w:t>
            </w:r>
            <w:r w:rsidR="00A2314A">
              <w:rPr>
                <w:rFonts w:ascii="Spranq eco sans" w:hAnsi="Spranq eco sans"/>
                <w:sz w:val="22"/>
              </w:rPr>
              <w:t>6</w:t>
            </w:r>
            <w:r w:rsidR="00681233">
              <w:rPr>
                <w:rFonts w:ascii="Spranq eco sans" w:hAnsi="Spranq eco sans"/>
                <w:sz w:val="22"/>
              </w:rPr>
              <w:t>/2023</w:t>
            </w:r>
          </w:p>
        </w:tc>
        <w:tc>
          <w:tcPr>
            <w:tcW w:w="2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7671F2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Dra. Olga </w:t>
                  </w:r>
                  <w:proofErr w:type="spellStart"/>
                  <w:r w:rsidRPr="00097A1B">
                    <w:rPr>
                      <w:rFonts w:ascii="Spranq eco sans" w:hAnsi="Spranq eco sans"/>
                    </w:rPr>
                    <w:t>Vishnevsky</w:t>
                  </w:r>
                  <w:proofErr w:type="spellEnd"/>
                  <w:r w:rsidRPr="00097A1B">
                    <w:rPr>
                      <w:rFonts w:ascii="Spranq eco sans" w:hAnsi="Spranq eco sans"/>
                    </w:rPr>
                    <w:t xml:space="preserve"> Fortes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Juíza Auxiliar da Corregedoria Regional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Dra. Juliana </w:t>
                  </w:r>
                  <w:proofErr w:type="spellStart"/>
                  <w:r w:rsidRPr="00097A1B">
                    <w:rPr>
                      <w:rFonts w:ascii="Spranq eco sans" w:hAnsi="Spranq eco sans"/>
                    </w:rPr>
                    <w:t>Jamtchek</w:t>
                  </w:r>
                  <w:proofErr w:type="spellEnd"/>
                  <w:r w:rsidRPr="00097A1B">
                    <w:rPr>
                      <w:rFonts w:ascii="Spranq eco sans" w:hAnsi="Spranq eco sans"/>
                    </w:rPr>
                    <w:t xml:space="preserve"> Grosso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Juíza Titular da 13ª Vara do Trabalho da Zona Sul de São Paulo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Ana Celina </w:t>
                  </w:r>
                  <w:r w:rsidR="00585A76">
                    <w:rPr>
                      <w:rFonts w:ascii="Spranq eco sans" w:hAnsi="Spranq eco sans"/>
                    </w:rPr>
                    <w:t>Ribeiro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Secretaria Geral Judiciária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Conrado Augusto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Corregedoria Regional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Maria Inês Ebert Gatti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Vice-Presidência Administrativa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Lucélia de Melo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097A1B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37ª VT de São Paulo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Michele Vieira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Núcleo PJE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Jefferson dos Santos Felix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6A4CBD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SETIC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725A02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Beatriz Maria </w:t>
                  </w:r>
                  <w:proofErr w:type="spellStart"/>
                  <w:r w:rsidRPr="00097A1B">
                    <w:rPr>
                      <w:rFonts w:ascii="Spranq eco sans" w:hAnsi="Spranq eco sans"/>
                    </w:rPr>
                    <w:t>Caccavella</w:t>
                  </w:r>
                  <w:proofErr w:type="spellEnd"/>
                  <w:r w:rsidRPr="00097A1B">
                    <w:rPr>
                      <w:rFonts w:ascii="Spranq eco sans" w:hAnsi="Spranq eco sans"/>
                    </w:rPr>
                    <w:t xml:space="preserve"> Chaves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725A02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Coordenadoria de Estatística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725A02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Maria 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725A02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Coordenadoria de Estatística</w:t>
                  </w:r>
                </w:p>
              </w:tc>
            </w:tr>
            <w:tr w:rsidR="00725A02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5A02" w:rsidRPr="00097A1B" w:rsidRDefault="00725A02" w:rsidP="00725A02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>Gustavo Miranda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5A02" w:rsidRPr="00097A1B" w:rsidRDefault="00725A02" w:rsidP="00725A02">
                  <w:pPr>
                    <w:rPr>
                      <w:rFonts w:ascii="Spranq eco sans" w:hAnsi="Spranq eco sans"/>
                    </w:rPr>
                  </w:pPr>
                  <w:r w:rsidRPr="00097A1B">
                    <w:rPr>
                      <w:rFonts w:ascii="Spranq eco sans" w:hAnsi="Spranq eco sans"/>
                    </w:rPr>
                    <w:t xml:space="preserve"> Coordenadoria de Estatística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585A76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</w:p>
          <w:p w:rsidR="00A2314A" w:rsidRPr="00585A76" w:rsidRDefault="000D2F55" w:rsidP="00681233">
            <w:pPr>
              <w:pStyle w:val="PargrafodaLista"/>
              <w:numPr>
                <w:ilvl w:val="0"/>
                <w:numId w:val="8"/>
              </w:numPr>
              <w:suppressAutoHyphens/>
              <w:ind w:left="137" w:right="170" w:firstLine="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Publicação ato sub</w:t>
            </w:r>
            <w:r w:rsidR="00A2314A"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comitê</w:t>
            </w:r>
            <w:r w:rsidR="00681233"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.</w:t>
            </w:r>
          </w:p>
          <w:p w:rsidR="000D2F55" w:rsidRPr="00585A76" w:rsidRDefault="000D2F55" w:rsidP="002A654E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85A76" w:rsidRPr="00585A76" w:rsidRDefault="000D2F55" w:rsidP="00585A76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Em 8 de maio de 2023 foi publicado</w:t>
            </w:r>
            <w:r w:rsidR="002A654E" w:rsidRPr="00585A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ato </w:t>
            </w: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GP n. 8/023 e a portaria GP n.25/2023 criando e nomeando os membros deste Sub</w:t>
            </w:r>
            <w:r w:rsidR="002A654E" w:rsidRPr="00585A76">
              <w:rPr>
                <w:rFonts w:ascii="Spranq eco sans" w:hAnsi="Spranq eco sans"/>
                <w:color w:val="000000"/>
                <w:shd w:val="clear" w:color="auto" w:fill="FFFFFF"/>
              </w:rPr>
              <w:t>comit</w:t>
            </w: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ê Regional do Sistema e-Gestão. </w:t>
            </w:r>
          </w:p>
          <w:p w:rsidR="00585A76" w:rsidRPr="00585A76" w:rsidRDefault="00585A76" w:rsidP="002A654E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A654E" w:rsidRPr="00585A76" w:rsidRDefault="002A654E" w:rsidP="002A654E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302C79" w:rsidRPr="00585A76" w:rsidRDefault="00A2314A" w:rsidP="00681233">
            <w:pPr>
              <w:pStyle w:val="PargrafodaLista"/>
              <w:numPr>
                <w:ilvl w:val="0"/>
                <w:numId w:val="8"/>
              </w:numPr>
              <w:suppressAutoHyphens/>
              <w:ind w:left="137" w:right="170" w:firstLine="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Manual criação de demandas</w:t>
            </w:r>
          </w:p>
          <w:p w:rsidR="005C139C" w:rsidRPr="00585A76" w:rsidRDefault="005C139C" w:rsidP="005C139C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A654E" w:rsidRDefault="005C139C" w:rsidP="005C139C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A CGJT enviou à ciência deste subcomitê a publicação do manual de criação de demandas e erros do sistema e-Gestão. Este manual visa a melhoria da qualidade do cadastro das demandas, evidenciando os eventos que efetivamente justificam a atuação do GT-Extrator e, consequentemente, prevenindo sua atuação em eventos exequíveis no âmbito Regional. O objetivo é que o desenvolvimento do Módulo Extrator e a correção de seus eventuais erros se torne mais célere e mais colaborativa.</w:t>
            </w:r>
            <w:r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cr/>
            </w:r>
          </w:p>
          <w:p w:rsidR="00585A76" w:rsidRPr="00585A76" w:rsidRDefault="00585A76" w:rsidP="005C139C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Como este Comitê já criava chamados em acordo com o estabelecido no manual, não há chamados para corrigir e não há deliberação sobre o tema.</w:t>
            </w:r>
          </w:p>
          <w:p w:rsidR="005C139C" w:rsidRPr="00585A76" w:rsidRDefault="005C139C" w:rsidP="002A654E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A654E" w:rsidRPr="00585A76" w:rsidRDefault="002A654E" w:rsidP="002A654E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A654E" w:rsidRPr="00585A76" w:rsidRDefault="002A654E" w:rsidP="002A654E">
            <w:pPr>
              <w:pStyle w:val="PargrafodaLista"/>
              <w:numPr>
                <w:ilvl w:val="0"/>
                <w:numId w:val="8"/>
              </w:numPr>
              <w:suppressAutoHyphens/>
              <w:ind w:left="137" w:right="170" w:firstLine="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PROAD 22528/23 – 100 maiores litigantes </w:t>
            </w:r>
          </w:p>
          <w:p w:rsidR="002A654E" w:rsidRPr="00585A76" w:rsidRDefault="002A654E" w:rsidP="002A654E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A654E" w:rsidRPr="00585A76" w:rsidRDefault="009234CC" w:rsidP="009234CC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Chegou via LAI um pedido solicitando a “</w:t>
            </w:r>
            <w:r w:rsidRPr="00585A76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informação mais recente dos 100 maiores litigantes, com processos ainda pendentes de julgamento, neste TRT, bem como a quantidade de processos atribuídos a cada um deles, uma vez que o portal "Grandes Litigantes" do CNJ (https://grandes-litigantes.stg.cloud.cnj.jus.br/) disponibiliza tal ranking tão somente até a vigésima colocação. Sendo isso possível, gostaria que tais resultados abrangessem os processos de todas as varas na 1ª e na 2ª instância.</w:t>
            </w: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”</w:t>
            </w:r>
          </w:p>
          <w:p w:rsidR="009234CC" w:rsidRPr="00585A76" w:rsidRDefault="009234CC" w:rsidP="009234CC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234CC" w:rsidRPr="00585A76" w:rsidRDefault="009234CC" w:rsidP="009234CC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Em despacho, a Presidência do Tribunal autorizou o envio das informações </w:t>
            </w:r>
            <w:r w:rsidR="00585A76" w:rsidRPr="00585A76">
              <w:rPr>
                <w:rFonts w:ascii="Spranq eco sans" w:hAnsi="Spranq eco sans"/>
                <w:color w:val="000000"/>
                <w:shd w:val="clear" w:color="auto" w:fill="FFFFFF"/>
              </w:rPr>
              <w:t>à</w:t>
            </w: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luz da LGPD, velando pela </w:t>
            </w:r>
            <w:proofErr w:type="spellStart"/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anonimização</w:t>
            </w:r>
            <w:proofErr w:type="spellEnd"/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dos dados pessoais após deliberação deste subcomitê.</w:t>
            </w:r>
          </w:p>
          <w:p w:rsidR="00681233" w:rsidRPr="00585A76" w:rsidRDefault="00681233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85A76" w:rsidRDefault="00585A76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Deliberou-se por enviar os dados ao solicitante seguindo as orientações do despacho da presidência.</w:t>
            </w:r>
          </w:p>
          <w:p w:rsidR="00585A76" w:rsidRPr="00585A76" w:rsidRDefault="00585A76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85A76" w:rsidRPr="00585A76" w:rsidRDefault="00585A76" w:rsidP="00681233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85A76" w:rsidRPr="00585A76" w:rsidRDefault="00585A76" w:rsidP="005A791A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IGEST</w:t>
            </w:r>
          </w:p>
          <w:p w:rsidR="00585A76" w:rsidRPr="00585A76" w:rsidRDefault="00585A76" w:rsidP="00585A76">
            <w:pPr>
              <w:pStyle w:val="PargrafodaLista"/>
              <w:suppressAutoHyphens/>
              <w:ind w:left="49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585A76" w:rsidRPr="00585A76" w:rsidRDefault="00585A76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</w:t>
            </w:r>
            <w:bookmarkStart w:id="0" w:name="_GoBack"/>
            <w:bookmarkEnd w:id="0"/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Dra. Olga trouxe ao conhecimento deste Comitê que os processos extintos sem resolução de mérito tem o mesmo peso de processos solucionados para o cálculo do IGEST, este fato gera distorções no ranking do indicador.</w:t>
            </w:r>
          </w:p>
          <w:p w:rsidR="00585A76" w:rsidRPr="00585A76" w:rsidRDefault="00585A76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Pr="00585A76" w:rsidRDefault="00585A76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color w:val="000000"/>
                <w:shd w:val="clear" w:color="auto" w:fill="FFFFFF"/>
              </w:rPr>
              <w:t>Após discussões, deliberou-se para que a Corregedoria Regional envie sugestão de alteração da regra de negócio do indicador para que o peso das extinções sem resolução de mérito seja menor do que os demais processos solucionados.</w:t>
            </w:r>
          </w:p>
          <w:p w:rsidR="00585A76" w:rsidRPr="00585A76" w:rsidRDefault="00585A76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85A76" w:rsidRPr="00585A76" w:rsidRDefault="00585A76" w:rsidP="00585A76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585A7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lastRenderedPageBreak/>
              <w:t>Próxima reunião</w:t>
            </w:r>
          </w:p>
          <w:p w:rsidR="00585A76" w:rsidRPr="00585A76" w:rsidRDefault="00585A76" w:rsidP="00585A76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85A76" w:rsidRPr="00585A76" w:rsidRDefault="00585A76" w:rsidP="00585A76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4A4D" w:rsidRPr="00585A76" w:rsidRDefault="00585A76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</w:rPr>
            </w:pPr>
            <w:r w:rsidRPr="00585A76">
              <w:rPr>
                <w:rFonts w:ascii="Spranq eco sans" w:hAnsi="Spranq eco sans"/>
              </w:rPr>
              <w:t>10/07 as 14h</w:t>
            </w: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B0" w:rsidRDefault="00641FB0">
      <w:r>
        <w:separator/>
      </w:r>
    </w:p>
  </w:endnote>
  <w:endnote w:type="continuationSeparator" w:id="0">
    <w:p w:rsidR="00641FB0" w:rsidRDefault="0064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41FB0" w:rsidRDefault="00641FB0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41FB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41FB0" w:rsidRPr="009F5993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41FB0" w:rsidRPr="00190DB0" w:rsidRDefault="00641FB0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Pr="007E4C21" w:rsidRDefault="00641FB0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585A76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41FB0" w:rsidRPr="004928AB" w:rsidRDefault="00641FB0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B0" w:rsidRDefault="00641FB0">
      <w:r>
        <w:separator/>
      </w:r>
    </w:p>
  </w:footnote>
  <w:footnote w:type="continuationSeparator" w:id="0">
    <w:p w:rsidR="00641FB0" w:rsidRDefault="0064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327095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F40C43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41FB0" w:rsidRPr="00154C7D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41FB0" w:rsidRPr="00154C7D" w:rsidRDefault="00641FB0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hybridMultilevel"/>
    <w:tmpl w:val="A21A348C"/>
    <w:lvl w:ilvl="0" w:tplc="6A98E4A8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2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3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5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97A1B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51884"/>
    <w:rsid w:val="00261245"/>
    <w:rsid w:val="00261B31"/>
    <w:rsid w:val="002627A8"/>
    <w:rsid w:val="00263056"/>
    <w:rsid w:val="00263BF9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24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882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5A7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25A02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56F3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9B9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3867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5345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4FBDC-E644-4D69-93C3-63CFD87A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465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3</cp:revision>
  <cp:lastPrinted>2021-06-17T19:21:00Z</cp:lastPrinted>
  <dcterms:created xsi:type="dcterms:W3CDTF">2023-06-13T22:08:00Z</dcterms:created>
  <dcterms:modified xsi:type="dcterms:W3CDTF">2023-06-14T19:58:00Z</dcterms:modified>
</cp:coreProperties>
</file>